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270"/>
        <w:gridCol w:w="5270"/>
      </w:tblGrid>
      <w:tr>
        <w:tc>
          <w:tcPr>
            <w:tcW w:type="dxa" w:w="5102"/>
          </w:tcPr>
          <w:p>
            <w:pPr>
              <w:spacing w:before="0" w:after="0" w:line="276" w:lineRule="auto"/>
            </w:pPr>
            <w:r>
              <w:rPr>
                <w:b/>
                <w:color w:val="1A3A5C"/>
                <w:sz w:val="32"/>
              </w:rPr>
              <w:t>smart</w:t>
            </w:r>
            <w:r>
              <w:rPr>
                <w:b/>
                <w:color w:val="E88B1C"/>
                <w:sz w:val="32"/>
              </w:rPr>
              <w:t>!</w:t>
            </w:r>
            <w:r>
              <w:rPr>
                <w:b/>
                <w:color w:val="1A3A5C"/>
                <w:sz w:val="32"/>
              </w:rPr>
              <w:t>bAV</w:t>
            </w:r>
          </w:p>
          <w:p>
            <w:pPr>
              <w:spacing w:before="20" w:after="0" w:line="276" w:lineRule="auto"/>
            </w:pPr>
            <w:r>
              <w:rPr>
                <w:color w:val="5B7085"/>
                <w:sz w:val="18"/>
              </w:rPr>
              <w:t>Verbindung mit BambooHR</w:t>
            </w:r>
          </w:p>
        </w:tc>
        <w:tc>
          <w:tcPr>
            <w:tcW w:type="dxa" w:w="4535"/>
            <w:shd w:val="clear" w:fill="EDEFF2"/>
          </w:tcPr>
          <w:p>
            <w:pPr>
              <w:spacing w:before="160" w:after="160" w:line="276" w:lineRule="auto"/>
              <w:jc w:val="center"/>
            </w:pPr>
            <w:r>
              <w:rPr>
                <w:b/>
                <w:color w:val="5B7085"/>
                <w:sz w:val="20"/>
              </w:rPr>
              <w:t>[  IHR LOGO  ]</w:t>
            </w:r>
          </w:p>
        </w:tc>
      </w:tr>
    </w:tbl>
    <w:p>
      <w:pPr>
        <w:spacing w:after="40"/>
      </w:pPr>
    </w:p>
    <w:p>
      <w:pPr>
        <w:spacing w:before="40" w:after="40" w:line="276" w:lineRule="auto"/>
      </w:pPr>
      <w:r>
        <w:rPr>
          <w:b/>
          <w:color w:val="E88B1C"/>
          <w:sz w:val="17"/>
          <w:spacing w:val="60"/>
        </w:rPr>
        <w:t>SMART!BAV · HRIS-ANBINDUNG</w:t>
      </w:r>
    </w:p>
    <w:p>
      <w:pPr>
        <w:spacing w:before="0" w:after="60" w:line="252" w:lineRule="auto"/>
      </w:pPr>
      <w:r>
        <w:rPr>
          <w:b/>
          <w:color w:val="1A3A5C"/>
          <w:sz w:val="38"/>
        </w:rPr>
        <w:t xml:space="preserve">BambooHR mit smart!bAV verbinden — </w:t>
      </w:r>
      <w:r>
        <w:rPr>
          <w:b/>
          <w:color w:val="E88B1C"/>
          <w:sz w:val="38"/>
        </w:rPr>
        <w:t>bAV-Verwaltung automatisieren</w:t>
      </w:r>
    </w:p>
    <w:p>
      <w:pPr>
        <w:spacing w:before="0" w:after="160" w:line="276" w:lineRule="auto"/>
      </w:pPr>
      <w:r>
        <w:rPr>
          <w:color w:val="5B7085"/>
          <w:sz w:val="22"/>
        </w:rPr>
        <w:t>Warum sich die Anbindung für Ihr HR-Team lohnt.</w:t>
      </w:r>
    </w:p>
    <w:p>
      <w:pPr>
        <w:spacing w:before="40" w:after="160" w:line="312" w:lineRule="auto"/>
      </w:pPr>
      <w:r>
        <w:rPr>
          <w:sz w:val="21"/>
        </w:rPr>
        <w:t>Ein- und Austritte, Namens- und Statusänderungen: Wer betriebliche Altersversorgung verwaltet, pflegt dieselben Personaldaten oft doppelt — manuell, fehleranfällig und zeitraubend. Die Anbindung von BambooHR an smart!bAV beendet das.</w:t>
      </w:r>
    </w:p>
    <w:tbl>
      <w:tblPr>
        <w:tblW w:type="auto" w:w="0"/>
        <w:tblLook w:firstColumn="1" w:firstRow="1" w:lastColumn="0" w:lastRow="0" w:noHBand="0" w:noVBand="1" w:val="04A0"/>
        <w:jc w:val="center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270"/>
        <w:gridCol w:w="5270"/>
      </w:tblGrid>
      <w:tr>
        <w:tc>
          <w:tcPr>
            <w:tcW w:type="dxa" w:w="4762"/>
            <w:shd w:val="clear" w:fill="F6F9FB"/>
          </w:tcPr>
          <w:p>
            <w:pPr>
              <w:spacing w:before="80" w:after="20" w:line="276" w:lineRule="auto"/>
            </w:pPr>
            <w:r>
              <w:rPr>
                <w:b/>
                <w:color w:val="1A3A5C"/>
                <w:sz w:val="22"/>
              </w:rPr>
              <w:t>Zeit sparen</w:t>
            </w:r>
          </w:p>
          <w:p>
            <w:pPr>
              <w:spacing w:before="0" w:after="80" w:line="300" w:lineRule="auto"/>
            </w:pPr>
            <w:r>
              <w:rPr>
                <w:color w:val="5B7085"/>
                <w:sz w:val="19"/>
              </w:rPr>
              <w:t>Keine doppelte Datenpflege und keine Excel-Listen mehr: Personaldaten fließen automatisch von BambooHR nach smart!bAV.</w:t>
            </w:r>
          </w:p>
        </w:tc>
        <w:tc>
          <w:tcPr>
            <w:tcW w:type="dxa" w:w="4762"/>
            <w:shd w:val="clear" w:fill="F6F9FB"/>
          </w:tcPr>
          <w:p>
            <w:pPr>
              <w:spacing w:before="80" w:after="20" w:line="276" w:lineRule="auto"/>
            </w:pPr>
            <w:r>
              <w:rPr>
                <w:b/>
                <w:color w:val="1A3A5C"/>
                <w:sz w:val="22"/>
              </w:rPr>
              <w:t>Haftung reduzieren</w:t>
            </w:r>
          </w:p>
          <w:p>
            <w:pPr>
              <w:spacing w:before="0" w:after="80" w:line="300" w:lineRule="auto"/>
            </w:pPr>
            <w:r>
              <w:rPr>
                <w:color w:val="5B7085"/>
                <w:sz w:val="19"/>
              </w:rPr>
              <w:t>Austritte, Elternzeit &amp; Statuswechsel werden zuverlässig übernommen — keine vergessenen An- und Abmeldungen.</w:t>
            </w:r>
          </w:p>
        </w:tc>
      </w:tr>
      <w:tr>
        <w:tc>
          <w:tcPr>
            <w:tcW w:type="dxa" w:w="4762"/>
            <w:shd w:val="clear" w:fill="F6F9FB"/>
          </w:tcPr>
          <w:p>
            <w:pPr>
              <w:spacing w:before="80" w:after="20" w:line="276" w:lineRule="auto"/>
            </w:pPr>
            <w:r>
              <w:rPr>
                <w:b/>
                <w:color w:val="1A3A5C"/>
                <w:sz w:val="22"/>
              </w:rPr>
              <w:t>DSGVO-konform</w:t>
            </w:r>
          </w:p>
          <w:p>
            <w:pPr>
              <w:spacing w:before="0" w:after="80" w:line="300" w:lineRule="auto"/>
            </w:pPr>
            <w:r>
              <w:rPr>
                <w:color w:val="5B7085"/>
                <w:sz w:val="19"/>
              </w:rPr>
              <w:t>Verarbeitung im deutschen Rechenzentrum (Hamburg), keine unverschlüsselten E-Mails. Nur lesender Zugriff auf genau definierte Felder.</w:t>
            </w:r>
          </w:p>
        </w:tc>
        <w:tc>
          <w:tcPr>
            <w:tcW w:type="dxa" w:w="4762"/>
            <w:shd w:val="clear" w:fill="F6F9FB"/>
          </w:tcPr>
          <w:p>
            <w:pPr>
              <w:spacing w:before="80" w:after="20" w:line="276" w:lineRule="auto"/>
            </w:pPr>
            <w:r>
              <w:rPr>
                <w:b/>
                <w:color w:val="1A3A5C"/>
                <w:sz w:val="22"/>
              </w:rPr>
              <w:t>Regelmäßig aktuell</w:t>
            </w:r>
          </w:p>
          <w:p>
            <w:pPr>
              <w:spacing w:before="0" w:after="80" w:line="300" w:lineRule="auto"/>
            </w:pPr>
            <w:r>
              <w:rPr>
                <w:color w:val="5B7085"/>
                <w:sz w:val="19"/>
              </w:rPr>
              <w:t>Personaldaten werden regelmäßig automatisch mit smart!bAV abgeglichen — ganz ohne manuelles Zutun.</w:t>
            </w:r>
          </w:p>
        </w:tc>
      </w:tr>
    </w:tbl>
    <w:p>
      <w:pPr>
        <w:spacing w:before="120" w:after="40" w:line="288" w:lineRule="auto"/>
        <w:shd w:val="clear" w:fill="EAF6F9"/>
        <w:ind w:left="170" w:right="170"/>
      </w:pPr>
      <w:r>
        <w:rPr>
          <w:b/>
          <w:color w:val="1A3A5C"/>
          <w:sz w:val="19"/>
        </w:rPr>
        <w:t xml:space="preserve">Datenfluss:  </w:t>
      </w:r>
      <w:r>
        <w:rPr>
          <w:b/>
          <w:color w:val="1A3A5C"/>
          <w:sz w:val="19"/>
        </w:rPr>
        <w:t>BambooHR</w:t>
      </w:r>
      <w:r>
        <w:rPr>
          <w:color w:val="333333"/>
          <w:sz w:val="19"/>
        </w:rPr>
        <w:t xml:space="preserve">  →  Vorname  ·  Nachname  ·  E-Mail  ·  Eintritt  ·  Austritt  ·  Status  →  </w:t>
      </w:r>
      <w:r>
        <w:rPr>
          <w:b/>
          <w:color w:val="1A3A5C"/>
          <w:sz w:val="19"/>
        </w:rPr>
        <w:t>smart!bAV</w:t>
      </w:r>
    </w:p>
    <w:p>
      <w:pPr>
        <w:spacing w:before="0" w:after="120" w:line="288" w:lineRule="auto"/>
        <w:shd w:val="clear" w:fill="EAF6F9"/>
        <w:ind w:left="170" w:right="170"/>
      </w:pPr>
      <w:r>
        <w:rPr>
          <w:b/>
          <w:color w:val="5B7085"/>
          <w:sz w:val="17"/>
        </w:rPr>
        <w:t>Einbahnstraße · nur lesende Berechtigungen · Datenverarbeitung in Hamburg (DE)</w:t>
      </w:r>
    </w:p>
    <w:p>
      <w:pPr>
        <w:spacing w:before="40" w:after="160" w:line="276" w:lineRule="auto"/>
      </w:pPr>
      <w:r>
        <w:rPr>
          <w:b/>
          <w:color w:val="1A3A5C"/>
          <w:sz w:val="19"/>
        </w:rPr>
        <w:t>✓ Deutsches Rechenzentrum   ·   Minimale Leserechte   ·   Keine Schreibzugriffe nötig   ·   Schnell eingerichtet</w:t>
      </w:r>
    </w:p>
    <w:tbl>
      <w:tblPr>
        <w:tblW w:type="auto" w:w="0"/>
        <w:tblLook w:firstColumn="1" w:firstRow="1" w:lastColumn="0" w:lastRow="0" w:noHBand="0" w:noVBand="1" w:val="04A0"/>
        <w:jc w:val="center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540"/>
      </w:tblGrid>
      <w:tr>
        <w:tc>
          <w:tcPr>
            <w:tcW w:type="dxa" w:w="9638"/>
            <w:shd w:val="clear" w:fill="EAF6F9"/>
          </w:tcPr>
          <w:p>
            <w:pPr>
              <w:spacing w:before="80" w:after="40" w:line="276" w:lineRule="auto"/>
            </w:pPr>
            <w:r>
              <w:rPr>
                <w:b/>
                <w:color w:val="1A3A5C"/>
                <w:sz w:val="24"/>
              </w:rPr>
              <w:t>Bereit für die Anbindung?</w:t>
            </w:r>
          </w:p>
          <w:p>
            <w:pPr>
              <w:spacing w:before="0" w:after="80" w:line="276" w:lineRule="auto"/>
            </w:pPr>
            <w:r>
              <w:rPr>
                <w:rFonts w:ascii="Arial" w:hAnsi="Arial"/>
                <w:b w:val="0"/>
                <w:color w:val="333333"/>
                <w:sz w:val="21"/>
              </w:rPr>
              <w:t xml:space="preserve">Ihr smart!bAV-Ansprechpartner begleitet Sie bei der Einrichtung. Die technische Schritt-für-Schritt-Anleitung finden Sie im zugehörigen </w:t>
            </w:r>
            <w:r>
              <w:rPr>
                <w:rFonts w:ascii="Arial" w:hAnsi="Arial"/>
                <w:b/>
                <w:color w:val="333333"/>
                <w:sz w:val="21"/>
              </w:rPr>
              <w:t>How-to-Onepager</w:t>
            </w:r>
            <w:r>
              <w:rPr>
                <w:rFonts w:ascii="Arial" w:hAnsi="Arial"/>
                <w:b w:val="0"/>
                <w:color w:val="333333"/>
                <w:sz w:val="21"/>
              </w:rPr>
              <w:t>.</w:t>
            </w:r>
          </w:p>
        </w:tc>
      </w:tr>
    </w:tbl>
    <w:sectPr w:rsidR="00FC693F" w:rsidRPr="0006063C" w:rsidSect="00034616">
      <w:footerReference w:type="default" r:id="rId9"/>
      <w:pgSz w:w="12240" w:h="15840"/>
      <w:pgMar w:top="794" w:right="850" w:bottom="794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 w:line="276" w:lineRule="auto"/>
      <w:pBdr>
        <w:top w:val="single" w:sz="6" w:space="4" w:color="E2E6EA"/>
      </w:pBdr>
    </w:pPr>
    <w:r>
      <w:rPr>
        <w:b/>
        <w:color w:val="1A3A5C"/>
        <w:sz w:val="18"/>
      </w:rPr>
      <w:t>Ihr Ansprechpartner:  [Ihr Name] · [Telefon] · [E-Mail]</w:t>
    </w:r>
  </w:p>
  <w:p>
    <w:pPr>
      <w:spacing w:before="0" w:after="0" w:line="276" w:lineRule="auto"/>
    </w:pPr>
    <w:r>
      <w:rPr>
        <w:color w:val="5B7085"/>
        <w:sz w:val="16"/>
      </w:rPr>
      <w:t>smart!bAV ist eine Lösung der smart!Cloud Services AG · Eine Marke der IT Warehouse AG · Borsteler Chaussee 51 · 22453 Hamburg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color w:val="333333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