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SAP SuccessFactors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SAP SuccessFactors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SAP SuccessFactors Schritt für Schritt mit smart!bAV.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SAP SuccessFactors Admin-Zugang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OData v2 API aktiviert (Standard)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Rechte für Permission Groups/Roles &amp; OAuth2-Clients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ca. 30 Minuten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Im smart!bAV Connection Flow auf „Weiter“: Freigabe für Mitarbeitende lesen.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API-Domain &amp; Company ID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Data-Center-URL (z. B.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api2.successfactors.eu</w:t>
            </w:r>
            <w:r>
              <w:rPr>
                <w:rFonts w:ascii="Arial" w:hAnsi="Arial"/>
                <w:b w:val="0"/>
                <w:color w:val="5B7085"/>
                <w:sz w:val="19"/>
              </w:rPr>
              <w:t>) und Company ID (Profil › „Show Version Information“).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Integration-User anlegen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Technischen Benutzer via </w:t>
            </w:r>
            <w:r>
              <w:rPr>
                <w:rFonts w:ascii="Arial" w:hAnsi="Arial"/>
                <w:b/>
                <w:color w:val="5B7085"/>
                <w:sz w:val="19"/>
              </w:rPr>
              <w:t>Import Employee Data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(Basic Import) erstellen.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Permission Group &amp; Role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Gruppe mit Integration-User; Rolle mit </w:t>
            </w:r>
            <w:r>
              <w:rPr>
                <w:rFonts w:ascii="Arial" w:hAnsi="Arial"/>
                <w:b/>
                <w:color w:val="5B7085"/>
                <w:sz w:val="19"/>
              </w:rPr>
              <w:t>Employee Central HRIS OData API (nur Lesen)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OAuth2-Client registrieren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Manage OAuth2 Client Applications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› X.509-Zertifikat </w:t>
            </w:r>
            <w:r>
              <w:rPr>
                <w:rFonts w:ascii="Arial" w:hAnsi="Arial"/>
                <w:b/>
                <w:color w:val="5B7085"/>
                <w:sz w:val="19"/>
              </w:rPr>
              <w:t>aus dem Flow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einfügen (nicht selbst generieren).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API-Key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Client anzeigen; API-Key + API-User in smart!bAV eingeben. Fertig.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SAP SuccessFactors</w:t>
      </w:r>
      <w:r>
        <w:rPr>
          <w:color w:val="333333"/>
          <w:sz w:val="19"/>
        </w:rPr>
        <w:t xml:space="preserve">  →  Vorname  ·  Nachname  ·  E-Mail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Employee Central HRIS OData API: nur Lesen (Mitarbeitenden-Stammdaten)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OData v2 API (Schnittstelle für Mitarbeitendendaten)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Attribute: Vor-/Nachname, E-Mail, Eintritt/Austritt, Status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 xml:space="preserve">Verwende ausschließlich das X.509-Zertifikat aus dem Connection Flow — </w:t>
            </w:r>
            <w:r>
              <w:rPr>
                <w:rFonts w:ascii="Arial" w:hAnsi="Arial"/>
                <w:b/>
                <w:color w:val="333333"/>
                <w:sz w:val="20"/>
              </w:rPr>
              <w:t>nicht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in SuccessFactors selbst generieren.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