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0"/>
        <w:gridCol w:w="5270"/>
      </w:tblGrid>
      <w:tr>
        <w:tc>
          <w:tcPr>
            <w:tcW w:type="dxa" w:w="5102"/>
          </w:tcPr>
          <w:p>
            <w:pPr>
              <w:spacing w:before="0" w:after="0" w:line="276" w:lineRule="auto"/>
            </w:pPr>
            <w:r>
              <w:rPr>
                <w:b/>
                <w:color w:val="1A3A5C"/>
                <w:sz w:val="32"/>
              </w:rPr>
              <w:t>smart</w:t>
            </w:r>
            <w:r>
              <w:rPr>
                <w:b/>
                <w:color w:val="E88B1C"/>
                <w:sz w:val="32"/>
              </w:rPr>
              <w:t>!</w:t>
            </w:r>
            <w:r>
              <w:rPr>
                <w:b/>
                <w:color w:val="1A3A5C"/>
                <w:sz w:val="32"/>
              </w:rPr>
              <w:t>bAV</w:t>
            </w:r>
          </w:p>
          <w:p>
            <w:pPr>
              <w:spacing w:before="20" w:after="0" w:line="276" w:lineRule="auto"/>
            </w:pPr>
            <w:r>
              <w:rPr>
                <w:color w:val="5B7085"/>
                <w:sz w:val="18"/>
              </w:rPr>
              <w:t>Verbindung mit Workday</w:t>
            </w:r>
          </w:p>
        </w:tc>
        <w:tc>
          <w:tcPr>
            <w:tcW w:type="dxa" w:w="4535"/>
            <w:shd w:val="clear" w:fill="EDEFF2"/>
          </w:tcPr>
          <w:p>
            <w:pPr>
              <w:spacing w:before="160" w:after="160" w:line="276" w:lineRule="auto"/>
              <w:jc w:val="center"/>
            </w:pPr>
            <w:r>
              <w:rPr>
                <w:b/>
                <w:color w:val="5B7085"/>
                <w:sz w:val="20"/>
              </w:rPr>
              <w:t>[  IHR LOGO  ]</w:t>
            </w:r>
          </w:p>
        </w:tc>
      </w:tr>
    </w:tbl>
    <w:p>
      <w:pPr>
        <w:spacing w:after="40"/>
      </w:pPr>
    </w:p>
    <w:p>
      <w:pPr>
        <w:spacing w:before="40" w:after="40" w:line="276" w:lineRule="auto"/>
      </w:pPr>
      <w:r>
        <w:rPr>
          <w:b/>
          <w:color w:val="E88B1C"/>
          <w:sz w:val="17"/>
          <w:spacing w:val="60"/>
        </w:rPr>
        <w:t>SMART!BAV · HRIS-ANBINDUNG</w:t>
      </w:r>
    </w:p>
    <w:p>
      <w:pPr>
        <w:spacing w:before="0" w:after="60" w:line="252" w:lineRule="auto"/>
      </w:pPr>
      <w:r>
        <w:rPr>
          <w:b/>
          <w:color w:val="1A3A5C"/>
          <w:sz w:val="38"/>
        </w:rPr>
        <w:t xml:space="preserve">Workday anbinden — </w:t>
      </w:r>
      <w:r>
        <w:rPr>
          <w:b/>
          <w:color w:val="E88B1C"/>
          <w:sz w:val="38"/>
        </w:rPr>
        <w:t>Schritt für Schritt</w:t>
      </w:r>
    </w:p>
    <w:p>
      <w:pPr>
        <w:spacing w:before="0" w:after="160" w:line="276" w:lineRule="auto"/>
      </w:pPr>
      <w:r>
        <w:rPr>
          <w:color w:val="5B7085"/>
          <w:sz w:val="22"/>
        </w:rPr>
        <w:t>So verbinden Sie Workday Schritt für Schritt mit smart!bAV.</w:t>
      </w:r>
    </w:p>
    <w:p>
      <w:pPr>
        <w:spacing w:before="40" w:after="160" w:line="324" w:lineRule="auto"/>
        <w:shd w:val="clear" w:fill="FFF8EF"/>
        <w:ind w:left="113" w:right="113"/>
      </w:pPr>
      <w:r>
        <w:rPr>
          <w:rFonts w:ascii="Arial" w:hAnsi="Arial"/>
          <w:b/>
          <w:color w:val="333333"/>
          <w:sz w:val="19"/>
        </w:rPr>
        <w:t>So starten Sie:</w:t>
      </w:r>
      <w:r>
        <w:rPr>
          <w:rFonts w:ascii="Arial" w:hAnsi="Arial"/>
          <w:b w:val="0"/>
          <w:color w:val="333333"/>
          <w:sz w:val="19"/>
        </w:rPr>
        <w:t xml:space="preserve"> Den Link zum Connection Flow erhalten Sie per E-Mail von smart!bAV. Die technische Einrichtung übernimmt Ihr interner IT-Administrator — leiten Sie dieses Dokument weiter. </w:t>
      </w:r>
      <w:r>
        <w:rPr>
          <w:rFonts w:ascii="Arial" w:hAnsi="Arial"/>
          <w:b/>
          <w:color w:val="333333"/>
          <w:sz w:val="19"/>
        </w:rPr>
        <w:t>Aufgabe an den Admin:</w:t>
      </w:r>
      <w:r>
        <w:rPr>
          <w:rFonts w:ascii="Arial" w:hAnsi="Arial"/>
          <w:b w:val="0"/>
          <w:color w:val="333333"/>
          <w:sz w:val="19"/>
        </w:rPr>
        <w:t xml:space="preserve"> Lese-Nutzer mit den unten genannten Rechten anlegen und die Zugangsdaten (Credentials) bereitstellen.</w:t>
      </w:r>
    </w:p>
    <w:p>
      <w:pPr>
        <w:spacing w:before="120" w:after="80" w:line="276" w:lineRule="auto"/>
      </w:pPr>
      <w:r>
        <w:rPr>
          <w:b/>
          <w:color w:val="1A3A5C"/>
          <w:sz w:val="18"/>
          <w:spacing w:val="30"/>
        </w:rPr>
        <w:t>VORAUSSETZUNGEN</w:t>
      </w:r>
    </w:p>
    <w:p>
      <w:pPr>
        <w:spacing w:before="0" w:after="20" w:line="288" w:lineRule="auto"/>
        <w:ind w:left="227"/>
      </w:pPr>
      <w:r>
        <w:rPr>
          <w:color w:val="8CCED9"/>
        </w:rPr>
        <w:t xml:space="preserve">•  </w:t>
      </w:r>
      <w:r>
        <w:rPr>
          <w:rFonts w:ascii="Arial" w:hAnsi="Arial"/>
          <w:b w:val="0"/>
          <w:color w:val="333333"/>
          <w:sz w:val="20"/>
        </w:rPr>
        <w:t>Workday Administrator-Zugang</w:t>
      </w:r>
    </w:p>
    <w:p>
      <w:pPr>
        <w:spacing w:before="0" w:after="20" w:line="288" w:lineRule="auto"/>
        <w:ind w:left="227"/>
      </w:pPr>
      <w:r>
        <w:rPr>
          <w:color w:val="8CCED9"/>
        </w:rPr>
        <w:t xml:space="preserve">•  </w:t>
      </w:r>
      <w:r>
        <w:rPr>
          <w:rFonts w:ascii="Arial" w:hAnsi="Arial"/>
          <w:b w:val="0"/>
          <w:color w:val="333333"/>
          <w:sz w:val="20"/>
        </w:rPr>
        <w:t>Workday Web Services (SOAP API) aktiv</w:t>
      </w:r>
    </w:p>
    <w:p>
      <w:pPr>
        <w:spacing w:before="0" w:after="20" w:line="288" w:lineRule="auto"/>
        <w:ind w:left="227"/>
      </w:pPr>
      <w:r>
        <w:rPr>
          <w:color w:val="8CCED9"/>
        </w:rPr>
        <w:t xml:space="preserve">•  </w:t>
      </w:r>
      <w:r>
        <w:rPr>
          <w:rFonts w:ascii="Arial" w:hAnsi="Arial"/>
          <w:b w:val="0"/>
          <w:color w:val="333333"/>
          <w:sz w:val="20"/>
        </w:rPr>
        <w:t>Modul HCM aktiv</w:t>
      </w:r>
    </w:p>
    <w:p>
      <w:pPr>
        <w:spacing w:before="40" w:after="120" w:line="276" w:lineRule="auto"/>
      </w:pPr>
      <w:r>
        <w:rPr>
          <w:b/>
          <w:color w:val="1A3A5C"/>
          <w:sz w:val="20"/>
        </w:rPr>
        <w:t xml:space="preserve">Zeitaufwand: </w:t>
      </w:r>
      <w:r>
        <w:rPr>
          <w:color w:val="333333"/>
          <w:sz w:val="20"/>
        </w:rPr>
        <w:t>ca. 45–60 Minuten</w:t>
      </w:r>
    </w:p>
    <w:tbl>
      <w:tblPr>
        <w:tblW w:type="auto" w:w="0"/>
        <w:tblLook w:firstColumn="1" w:firstRow="1" w:lastColumn="0" w:lastRow="0" w:noHBand="0" w:noVBand="1" w:val="04A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0"/>
        <w:gridCol w:w="5270"/>
      </w:tblGrid>
      <w:tr>
        <w:tc>
          <w:tcPr>
            <w:tcW w:type="dxa" w:w="4762"/>
            <w:shd w:val="clear" w:fill="F6F9FB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22"/>
              </w:rPr>
              <w:t xml:space="preserve">1  </w:t>
            </w:r>
            <w:r>
              <w:rPr>
                <w:b/>
                <w:color w:val="1A3A5C"/>
                <w:sz w:val="21"/>
              </w:rPr>
              <w:t>Berechtigungen bestätigen</w:t>
            </w:r>
          </w:p>
          <w:p>
            <w:pPr>
              <w:spacing w:before="0" w:after="80" w:line="300" w:lineRule="auto"/>
              <w:ind w:left="312"/>
            </w:pPr>
            <w:r>
              <w:rPr>
                <w:rFonts w:ascii="Arial" w:hAnsi="Arial"/>
                <w:b w:val="0"/>
                <w:color w:val="5B7085"/>
                <w:sz w:val="19"/>
              </w:rPr>
              <w:t>Im Connection Flow auf „Weiter“: Freigabe für Mitarbeitende &amp; Organisationen lesen.</w:t>
            </w:r>
          </w:p>
        </w:tc>
        <w:tc>
          <w:tcPr>
            <w:tcW w:type="dxa" w:w="4762"/>
            <w:shd w:val="clear" w:fill="F6F9FB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22"/>
              </w:rPr>
              <w:t xml:space="preserve">2  </w:t>
            </w:r>
            <w:r>
              <w:rPr>
                <w:b/>
                <w:color w:val="1A3A5C"/>
                <w:sz w:val="21"/>
              </w:rPr>
              <w:t>Tenant URL &amp; Tenant ID</w:t>
            </w:r>
          </w:p>
          <w:p>
            <w:pPr>
              <w:spacing w:before="0" w:after="80" w:line="300" w:lineRule="auto"/>
              <w:ind w:left="312"/>
            </w:pPr>
            <w:r>
              <w:rPr>
                <w:rFonts w:ascii="Arial" w:hAnsi="Arial"/>
                <w:b w:val="0"/>
                <w:color w:val="5B7085"/>
                <w:sz w:val="19"/>
              </w:rPr>
              <w:t xml:space="preserve">Aus der Login-URL, z. B. </w:t>
            </w:r>
            <w:r>
              <w:rPr>
                <w:rFonts w:ascii="Consolas" w:hAnsi="Consolas"/>
                <w:b w:val="0"/>
                <w:color w:val="5B7085"/>
                <w:sz w:val="19"/>
              </w:rPr>
              <w:t>wd5.myworkday.com</w:t>
            </w:r>
            <w:r>
              <w:rPr>
                <w:rFonts w:ascii="Arial" w:hAnsi="Arial"/>
                <w:b w:val="0"/>
                <w:color w:val="5B7085"/>
                <w:sz w:val="19"/>
              </w:rPr>
              <w:t xml:space="preserve"> / </w:t>
            </w:r>
            <w:r>
              <w:rPr>
                <w:rFonts w:ascii="Consolas" w:hAnsi="Consolas"/>
                <w:b w:val="0"/>
                <w:color w:val="5B7085"/>
                <w:sz w:val="19"/>
              </w:rPr>
              <w:t>sample_company</w:t>
            </w:r>
            <w:r>
              <w:rPr>
                <w:rFonts w:ascii="Arial" w:hAnsi="Arial"/>
                <w:b w:val="0"/>
                <w:color w:val="5B7085"/>
                <w:sz w:val="19"/>
              </w:rPr>
              <w:t>.</w:t>
            </w:r>
          </w:p>
        </w:tc>
      </w:tr>
      <w:tr>
        <w:tc>
          <w:tcPr>
            <w:tcW w:type="dxa" w:w="4762"/>
            <w:shd w:val="clear" w:fill="F6F9FB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22"/>
              </w:rPr>
              <w:t xml:space="preserve">3  </w:t>
            </w:r>
            <w:r>
              <w:rPr>
                <w:b/>
                <w:color w:val="1A3A5C"/>
                <w:sz w:val="21"/>
              </w:rPr>
              <w:t>ISU anlegen</w:t>
            </w:r>
          </w:p>
          <w:p>
            <w:pPr>
              <w:spacing w:before="0" w:after="80" w:line="300" w:lineRule="auto"/>
              <w:ind w:left="312"/>
            </w:pPr>
            <w:r>
              <w:rPr>
                <w:rFonts w:ascii="Arial" w:hAnsi="Arial"/>
                <w:b/>
                <w:color w:val="5B7085"/>
                <w:sz w:val="19"/>
              </w:rPr>
              <w:t>Create Integration System User</w:t>
            </w:r>
            <w:r>
              <w:rPr>
                <w:rFonts w:ascii="Arial" w:hAnsi="Arial"/>
                <w:b w:val="0"/>
                <w:color w:val="5B7085"/>
                <w:sz w:val="19"/>
              </w:rPr>
              <w:t xml:space="preserve"> (Session Timeout 0, keine UI-Sessions).</w:t>
            </w:r>
          </w:p>
        </w:tc>
        <w:tc>
          <w:tcPr>
            <w:tcW w:type="dxa" w:w="4762"/>
            <w:shd w:val="clear" w:fill="F6F9FB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22"/>
              </w:rPr>
              <w:t xml:space="preserve">4  </w:t>
            </w:r>
            <w:r>
              <w:rPr>
                <w:b/>
                <w:color w:val="1A3A5C"/>
                <w:sz w:val="21"/>
              </w:rPr>
              <w:t>Passwortablauf deaktivieren</w:t>
            </w:r>
          </w:p>
          <w:p>
            <w:pPr>
              <w:spacing w:before="0" w:after="80" w:line="300" w:lineRule="auto"/>
              <w:ind w:left="312"/>
            </w:pPr>
            <w:r>
              <w:rPr>
                <w:rFonts w:ascii="Arial" w:hAnsi="Arial"/>
                <w:b w:val="0"/>
                <w:color w:val="5B7085"/>
                <w:sz w:val="19"/>
              </w:rPr>
              <w:t xml:space="preserve">ISU unter </w:t>
            </w:r>
            <w:r>
              <w:rPr>
                <w:rFonts w:ascii="Arial" w:hAnsi="Arial"/>
                <w:b/>
                <w:color w:val="5B7085"/>
                <w:sz w:val="19"/>
              </w:rPr>
              <w:t>Maintain Password Rules</w:t>
            </w:r>
            <w:r>
              <w:rPr>
                <w:rFonts w:ascii="Arial" w:hAnsi="Arial"/>
                <w:b w:val="0"/>
                <w:color w:val="5B7085"/>
                <w:sz w:val="19"/>
              </w:rPr>
              <w:t xml:space="preserve"> von der Ablauf-Regel ausnehmen.</w:t>
            </w:r>
          </w:p>
        </w:tc>
      </w:tr>
      <w:tr>
        <w:tc>
          <w:tcPr>
            <w:tcW w:type="dxa" w:w="4762"/>
            <w:shd w:val="clear" w:fill="F6F9FB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22"/>
              </w:rPr>
              <w:t xml:space="preserve">5  </w:t>
            </w:r>
            <w:r>
              <w:rPr>
                <w:b/>
                <w:color w:val="1A3A5C"/>
                <w:sz w:val="21"/>
              </w:rPr>
              <w:t>Security Group &amp; Rechte</w:t>
            </w:r>
          </w:p>
          <w:p>
            <w:pPr>
              <w:spacing w:before="0" w:after="80" w:line="300" w:lineRule="auto"/>
              <w:ind w:left="312"/>
            </w:pPr>
            <w:r>
              <w:rPr>
                <w:rFonts w:ascii="Arial" w:hAnsi="Arial"/>
                <w:b/>
                <w:color w:val="5B7085"/>
                <w:sz w:val="19"/>
              </w:rPr>
              <w:t>Integration System Security Group (Unconstrained)</w:t>
            </w:r>
            <w:r>
              <w:rPr>
                <w:rFonts w:ascii="Arial" w:hAnsi="Arial"/>
                <w:b w:val="0"/>
                <w:color w:val="5B7085"/>
                <w:sz w:val="19"/>
              </w:rPr>
              <w:t>; Domain-Rechte (Get) zuweisen.</w:t>
            </w:r>
          </w:p>
        </w:tc>
        <w:tc>
          <w:tcPr>
            <w:tcW w:type="dxa" w:w="4762"/>
            <w:shd w:val="clear" w:fill="F6F9FB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22"/>
              </w:rPr>
              <w:t xml:space="preserve">6  </w:t>
            </w:r>
            <w:r>
              <w:rPr>
                <w:b/>
                <w:color w:val="1A3A5C"/>
                <w:sz w:val="21"/>
              </w:rPr>
              <w:t>Aktivieren &amp; eingeben</w:t>
            </w:r>
          </w:p>
          <w:p>
            <w:pPr>
              <w:spacing w:before="0" w:after="80" w:line="300" w:lineRule="auto"/>
              <w:ind w:left="312"/>
            </w:pPr>
            <w:r>
              <w:rPr>
                <w:rFonts w:ascii="Arial" w:hAnsi="Arial"/>
                <w:b/>
                <w:color w:val="5B7085"/>
                <w:sz w:val="19"/>
              </w:rPr>
              <w:t>Activate Pending Security Policy Changes</w:t>
            </w:r>
            <w:r>
              <w:rPr>
                <w:rFonts w:ascii="Arial" w:hAnsi="Arial"/>
                <w:b w:val="0"/>
                <w:color w:val="5B7085"/>
                <w:sz w:val="19"/>
              </w:rPr>
              <w:t>; ISU-Username + Passwort in smart!bAV eingeben.</w:t>
            </w:r>
          </w:p>
        </w:tc>
      </w:tr>
    </w:tbl>
    <w:p>
      <w:pPr>
        <w:spacing w:before="120" w:after="40" w:line="288" w:lineRule="auto"/>
        <w:shd w:val="clear" w:fill="EAF6F9"/>
        <w:ind w:left="170" w:right="170"/>
      </w:pPr>
      <w:r>
        <w:rPr>
          <w:b/>
          <w:color w:val="1A3A5C"/>
          <w:sz w:val="19"/>
        </w:rPr>
        <w:t xml:space="preserve">Datenfluss:  </w:t>
      </w:r>
      <w:r>
        <w:rPr>
          <w:b/>
          <w:color w:val="1A3A5C"/>
          <w:sz w:val="19"/>
        </w:rPr>
        <w:t>Workday</w:t>
      </w:r>
      <w:r>
        <w:rPr>
          <w:color w:val="333333"/>
          <w:sz w:val="19"/>
        </w:rPr>
        <w:t xml:space="preserve">  →  Stammdaten  ·  E-Mail  ·  Positionen  ·  Eintritt  ·  Austritt  ·  Status  ·  Organisation  →  </w:t>
      </w:r>
      <w:r>
        <w:rPr>
          <w:b/>
          <w:color w:val="1A3A5C"/>
          <w:sz w:val="19"/>
        </w:rPr>
        <w:t>smart!bAV</w:t>
      </w:r>
    </w:p>
    <w:p>
      <w:pPr>
        <w:spacing w:before="0" w:after="120" w:line="288" w:lineRule="auto"/>
        <w:shd w:val="clear" w:fill="EAF6F9"/>
        <w:ind w:left="170" w:right="170"/>
      </w:pPr>
      <w:r>
        <w:rPr>
          <w:b/>
          <w:color w:val="5B7085"/>
          <w:sz w:val="17"/>
        </w:rPr>
        <w:t>Einbahnstraße · nur lesende Berechtigungen · Datenverarbeitung in Hamburg (DE)</w:t>
      </w:r>
    </w:p>
    <w:p>
      <w:pPr>
        <w:spacing w:before="120" w:after="80" w:line="276" w:lineRule="auto"/>
      </w:pPr>
      <w:r>
        <w:rPr>
          <w:b/>
          <w:color w:val="1A3A5C"/>
          <w:sz w:val="18"/>
          <w:spacing w:val="30"/>
        </w:rPr>
        <w:t>BENÖTIGTE BERECHTIGUNGEN (NUR LESEN)</w:t>
      </w:r>
    </w:p>
    <w:p>
      <w:pPr>
        <w:spacing w:before="0" w:after="20" w:line="288" w:lineRule="auto"/>
        <w:ind w:left="227"/>
      </w:pPr>
      <w:r>
        <w:rPr>
          <w:color w:val="8CCED9"/>
        </w:rPr>
        <w:t xml:space="preserve">•  </w:t>
      </w:r>
      <w:r>
        <w:rPr>
          <w:rFonts w:ascii="Arial" w:hAnsi="Arial"/>
          <w:b w:val="0"/>
          <w:color w:val="333333"/>
          <w:sz w:val="20"/>
        </w:rPr>
        <w:t>Worker Data – Personal, Contact, Positions, Job, Active/Terminated: Get (Stammdaten, Kontaktdaten, Stellen, Job, aktive &amp; ausgeschiedene Mitarbeitende)</w:t>
      </w:r>
    </w:p>
    <w:p>
      <w:pPr>
        <w:spacing w:before="0" w:after="20" w:line="288" w:lineRule="auto"/>
        <w:ind w:left="227"/>
      </w:pPr>
      <w:r>
        <w:rPr>
          <w:color w:val="8CCED9"/>
        </w:rPr>
        <w:t xml:space="preserve">•  </w:t>
      </w:r>
      <w:r>
        <w:rPr>
          <w:rFonts w:ascii="Arial" w:hAnsi="Arial"/>
          <w:b w:val="0"/>
          <w:color w:val="333333"/>
          <w:sz w:val="20"/>
        </w:rPr>
        <w:t>Set Up: Organizations: Get (Organisationsstruktur)</w:t>
      </w:r>
    </w:p>
    <w:p>
      <w:pPr>
        <w:spacing w:before="0" w:after="20" w:line="288" w:lineRule="auto"/>
        <w:ind w:left="227"/>
      </w:pPr>
      <w:r>
        <w:rPr>
          <w:color w:val="8CCED9"/>
        </w:rPr>
        <w:t xml:space="preserve">•  </w:t>
      </w:r>
      <w:r>
        <w:rPr>
          <w:rFonts w:ascii="Arial" w:hAnsi="Arial"/>
          <w:b w:val="0"/>
          <w:color w:val="333333"/>
          <w:sz w:val="20"/>
        </w:rPr>
        <w:t>Integration Build: Get (Schnittstellen-Zugriff)</w:t>
      </w:r>
    </w:p>
    <w:tbl>
      <w:tblPr>
        <w:tblW w:type="auto" w:w="0"/>
        <w:tblLook w:firstColumn="1" w:firstRow="1" w:lastColumn="0" w:lastRow="0" w:noHBand="0" w:noVBand="1" w:val="04A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40"/>
      </w:tblGrid>
      <w:tr>
        <w:tc>
          <w:tcPr>
            <w:tcW w:type="dxa" w:w="9638"/>
            <w:shd w:val="clear" w:fill="FFF8EF"/>
          </w:tcPr>
          <w:p>
            <w:pPr>
              <w:spacing w:before="60" w:after="20" w:line="276" w:lineRule="auto"/>
            </w:pPr>
            <w:r>
              <w:rPr>
                <w:b/>
                <w:color w:val="E88B1C"/>
                <w:sz w:val="19"/>
              </w:rPr>
              <w:t>Tipp</w:t>
            </w:r>
          </w:p>
          <w:p>
            <w:pPr>
              <w:spacing w:before="0" w:after="6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 xml:space="preserve">Häufigster Fehler: die </w:t>
            </w:r>
            <w:r>
              <w:rPr>
                <w:rFonts w:ascii="Arial" w:hAnsi="Arial"/>
                <w:b/>
                <w:color w:val="333333"/>
                <w:sz w:val="20"/>
              </w:rPr>
              <w:t>ausstehenden Sicherheitsrichtlinien-Änderungen</w:t>
            </w:r>
            <w:r>
              <w:rPr>
                <w:rFonts w:ascii="Arial" w:hAnsi="Arial"/>
                <w:b w:val="0"/>
                <w:color w:val="333333"/>
                <w:sz w:val="20"/>
              </w:rPr>
              <w:t xml:space="preserve"> nicht aktiviert. Session Timeout des ISU auf </w:t>
            </w:r>
            <w:r>
              <w:rPr>
                <w:rFonts w:ascii="Consolas" w:hAnsi="Consolas"/>
                <w:b w:val="0"/>
                <w:color w:val="333333"/>
                <w:sz w:val="20"/>
              </w:rPr>
              <w:t>0</w:t>
            </w:r>
            <w:r>
              <w:rPr>
                <w:rFonts w:ascii="Arial" w:hAnsi="Arial"/>
                <w:b w:val="0"/>
                <w:color w:val="333333"/>
                <w:sz w:val="20"/>
              </w:rPr>
              <w:t xml:space="preserve"> setzen.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76" w:lineRule="auto"/>
      <w:pBdr>
        <w:top w:val="single" w:sz="6" w:space="4" w:color="E2E6EA"/>
      </w:pBdr>
    </w:pPr>
    <w:r>
      <w:rPr>
        <w:b/>
        <w:color w:val="1A3A5C"/>
        <w:sz w:val="18"/>
      </w:rPr>
      <w:t>Ihr Ansprechpartner:  [Ihr Name] · [Telefon] · [E-Mail]</w:t>
    </w:r>
  </w:p>
  <w:p>
    <w:pPr>
      <w:spacing w:before="0" w:after="0" w:line="276" w:lineRule="auto"/>
    </w:pPr>
    <w:r>
      <w:rPr>
        <w:color w:val="5B7085"/>
        <w:sz w:val="16"/>
      </w:rPr>
      <w:t>smart!bAV ist eine Lösung der smart!Cloud Services AG · Eine Marke der IT Warehouse AG · Borsteler Chaussee 51 · 22453 Hamburg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333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